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0A" w:rsidRDefault="00462A0A" w:rsidP="00462A0A">
      <w:pPr>
        <w:autoSpaceDE w:val="0"/>
        <w:autoSpaceDN w:val="0"/>
        <w:adjustRightInd w:val="0"/>
        <w:jc w:val="center"/>
        <w:rPr>
          <w:rFonts w:ascii="黑体" w:eastAsia="黑体" w:hAnsi="黑体" w:cs="FZXBSJW--GB1-0" w:hint="eastAsia"/>
          <w:kern w:val="0"/>
          <w:sz w:val="36"/>
          <w:szCs w:val="36"/>
        </w:rPr>
      </w:pPr>
      <w:r w:rsidRPr="00462A0A">
        <w:rPr>
          <w:rFonts w:ascii="黑体" w:eastAsia="黑体" w:hAnsi="黑体" w:cs="FZXBSJW--GB1-0" w:hint="eastAsia"/>
          <w:kern w:val="0"/>
          <w:sz w:val="36"/>
          <w:szCs w:val="36"/>
        </w:rPr>
        <w:t>河海大学建设工程竣工结算审计实施办法</w:t>
      </w:r>
    </w:p>
    <w:p w:rsidR="00462A0A" w:rsidRPr="00462A0A" w:rsidRDefault="00462A0A" w:rsidP="00462A0A">
      <w:pPr>
        <w:autoSpaceDE w:val="0"/>
        <w:autoSpaceDN w:val="0"/>
        <w:adjustRightInd w:val="0"/>
        <w:jc w:val="center"/>
        <w:rPr>
          <w:rFonts w:ascii="黑体" w:eastAsia="黑体" w:hAnsi="黑体" w:cs="FZXBSJW--GB1-0"/>
          <w:kern w:val="0"/>
          <w:sz w:val="36"/>
          <w:szCs w:val="36"/>
        </w:rPr>
      </w:pPr>
    </w:p>
    <w:p w:rsidR="00462A0A" w:rsidRPr="00462A0A" w:rsidRDefault="00F5030D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第一条 </w:t>
      </w:r>
      <w:r w:rsidR="00462A0A" w:rsidRPr="00F5030D">
        <w:rPr>
          <w:rFonts w:ascii="仿宋" w:eastAsia="仿宋" w:hAnsi="仿宋" w:cs="FangSong" w:hint="eastAsia"/>
          <w:kern w:val="0"/>
          <w:sz w:val="30"/>
          <w:szCs w:val="30"/>
        </w:rPr>
        <w:t>为加强学校建设工程项目管理，规范建设工程审计</w:t>
      </w:r>
      <w:r w:rsidR="00462A0A" w:rsidRPr="00462A0A">
        <w:rPr>
          <w:rFonts w:ascii="仿宋" w:eastAsia="仿宋" w:hAnsi="仿宋" w:cs="FangSong" w:hint="eastAsia"/>
          <w:kern w:val="0"/>
          <w:sz w:val="30"/>
          <w:szCs w:val="30"/>
        </w:rPr>
        <w:t>监督，提高资金使用效益，根据《教育系统内部审计工作规定》</w:t>
      </w:r>
      <w:r>
        <w:rPr>
          <w:rFonts w:ascii="仿宋" w:eastAsia="仿宋" w:hAnsi="仿宋" w:cs="FangSong" w:hint="eastAsia"/>
          <w:kern w:val="0"/>
          <w:sz w:val="30"/>
          <w:szCs w:val="30"/>
        </w:rPr>
        <w:t>、</w:t>
      </w:r>
      <w:r w:rsidR="00462A0A" w:rsidRPr="00462A0A">
        <w:rPr>
          <w:rFonts w:ascii="仿宋" w:eastAsia="仿宋" w:hAnsi="仿宋" w:cs="FangSong" w:hint="eastAsia"/>
          <w:kern w:val="0"/>
          <w:sz w:val="30"/>
          <w:szCs w:val="30"/>
        </w:rPr>
        <w:t>《教育部关于加强直属高校建设工程管理审计的意见》等有关规定，结合我校实际情况，制定本办法。</w:t>
      </w:r>
    </w:p>
    <w:p w:rsidR="00462A0A" w:rsidRPr="00462A0A" w:rsidRDefault="00F5030D" w:rsidP="00A649D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第二条 </w:t>
      </w:r>
      <w:r w:rsidR="00462A0A" w:rsidRPr="00F5030D">
        <w:rPr>
          <w:rFonts w:ascii="仿宋" w:eastAsia="仿宋" w:hAnsi="仿宋" w:cs="FangSong" w:hint="eastAsia"/>
          <w:kern w:val="0"/>
          <w:sz w:val="30"/>
          <w:szCs w:val="30"/>
        </w:rPr>
        <w:t>本办法所称的建设工程是指学校使用各类资金来</w:t>
      </w:r>
      <w:r w:rsidR="00462A0A" w:rsidRPr="00462A0A">
        <w:rPr>
          <w:rFonts w:ascii="仿宋" w:eastAsia="仿宋" w:hAnsi="仿宋" w:cs="FangSong" w:hint="eastAsia"/>
          <w:kern w:val="0"/>
          <w:sz w:val="30"/>
          <w:szCs w:val="30"/>
        </w:rPr>
        <w:t>源实施的新建、改扩建及修缮工程，主要包括建筑工程、装饰工程、电气工程、暖通工程、给排水工程、道路工程、园林绿化工程、安防工程等。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本办法所称的建设工程竣工结算审计是指学校建设工程竣工验收后，依据相关法律法规和约定，由审计处组织实施的，对工程项目竣工结算的真实性、合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规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性、效益性进行的审计监督和评价。</w:t>
      </w:r>
    </w:p>
    <w:p w:rsidR="00462A0A" w:rsidRPr="00F5030D" w:rsidRDefault="00F5030D" w:rsidP="00A649D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第三条 </w:t>
      </w:r>
      <w:r w:rsidR="00462A0A" w:rsidRPr="00F5030D">
        <w:rPr>
          <w:rFonts w:ascii="仿宋" w:eastAsia="仿宋" w:hAnsi="仿宋" w:cs="FangSong" w:hint="eastAsia"/>
          <w:kern w:val="0"/>
          <w:sz w:val="30"/>
          <w:szCs w:val="30"/>
        </w:rPr>
        <w:t>学校新建、改扩建及修缮工程，其竣工结算审计工作按本办法执行。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模型、拆除等特殊工程竣工结算审计参照本办法执行。</w:t>
      </w:r>
    </w:p>
    <w:p w:rsidR="00462A0A" w:rsidRPr="00462A0A" w:rsidRDefault="00F5030D" w:rsidP="00A649D6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第四条 </w:t>
      </w:r>
      <w:r w:rsidR="00462A0A" w:rsidRPr="00F5030D">
        <w:rPr>
          <w:rFonts w:ascii="仿宋" w:eastAsia="仿宋" w:hAnsi="仿宋" w:cs="FangSong" w:hint="eastAsia"/>
          <w:kern w:val="0"/>
          <w:sz w:val="30"/>
          <w:szCs w:val="30"/>
        </w:rPr>
        <w:t>建设工程竣工结算审计统一由审计处归口管理，校</w:t>
      </w:r>
      <w:r w:rsidR="00462A0A" w:rsidRPr="00462A0A">
        <w:rPr>
          <w:rFonts w:ascii="仿宋" w:eastAsia="仿宋" w:hAnsi="仿宋" w:cs="FangSong" w:hint="eastAsia"/>
          <w:kern w:val="0"/>
          <w:sz w:val="30"/>
          <w:szCs w:val="30"/>
        </w:rPr>
        <w:t>内相关部门应予以配合。需要委托中介机构实施结算审计的，相关事项由审计处负责实施，其他单位不得自行委托。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第五条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单项工程结算金额在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5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万元以下的零星工程，其竣工结算由项目建设单位负责审核，审核后办理财务报销手续，审计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>处通过抽查方式实施监督。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单项工程结算金额在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5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万元以上的项目，其竣工结算原则上需要进行审计，未经竣工结算审计，不得办理财务报销手续。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第六条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项目建设单位与施工单位签订合同时应将“竣工结算需进行审计，审计后支付尾款”相关内容列入合同条款，支付工程款时按规定进行控制，留足尾款，以避免出现超付现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象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第七条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建设工程竣工结算审计工作采用受托审计方式。项目建设单位在项目验收后应及时办理竣工结算审计，按要求填写审计委托书，准备审计资料。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第八条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建设工程管理部门应在确定年度工程项目实施计划后，向审计处报送该计划，以便审计处组织力量进行审计。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第九条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建设工程竣工结算审计内容主要包括：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（一）竣工结算文件及其编制依据。包括合同、招投标文件、验收证明等资料是否真实、完备，手续是否完整；结算文件编制是否符合合同约定和招投标文件等相关规定。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（二）设计变更、现场签证内容是否真实合理，手续是否完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备。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（三）工程量计算是否准确，费用计取依据是否充分、合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规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（四）审核材料及设备计价程序和价格。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（五）其他。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工程项目竣工验收后，建设单位应对施工单位提交的竣工结算资料进行初审，并及时将送审资料报送审计处。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施工单位和建设单位应对送审资料的真实性、完整性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作出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承诺。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第十一条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送审时，建设单位向审计处报送的资料清单如下：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（一）施工合同及补充协议以及构成合同的附件等内容。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（二）工程招标文件和中标单位投标文件，中标通知书以及答疑、中标承诺等附件材料。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（三）全套施工图、图纸变更、竣工图。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（四）设计变更、现场签证、隐蔽工程记录、洽商记录纪要等涉及工程造价的记录。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（五）工程预算书、工程结算书、工程量计算书。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（六）开工报告、停工记录、竣工验收记录等资料。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（七）审计委托书、报审承诺书。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（八）工程竣工结算审计需要的其他资料。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送审时，建设单位应同时向审计处报送纸质版和电子版的送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第十二条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建设工程竣工结算送审资料应当一次性完整提供。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审计处在收到送审资料时，应对资料进行检查，若发现资料存在缺漏或不符合规定的情况，应及时退回资料，要求补充完善；对符合审计要求的项目，予以立项。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审计过程中，除审计另有要求外，审计处原则上不再接收补充送审资料。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第十三条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审计处在收到完整的结算审计资料后，即组织开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>展审计工作。除特殊情况外，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100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万元以下工程项目结算审计工作一般在一个月内完成，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100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万元（含）以上工程项目结算审计工作一般在两个月内完成。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需要本年度完成结算的工程项目，应当在当年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11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月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10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日以前向审计处报送完整的审计资料。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第十四条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根据结算审计工作实际情况，如需委托中介机构审计的，审计费用按有关规定计取，列入工程建设成本，合同另有约定的，从其规定。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第十五条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审计过程中，建设单位应当积极配合审计工作，督促施工、监理等相关单位及时回复有关审计质询。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第十六条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审计现场工作完成后，审计处按照有关规定出具建设工程竣工结算审计报告，作为办理工程价款结算、财务报销的依据。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第十七条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建设工程竣工结算审计工作完成后，审计处对结算审计工作资料进行归档，项目工程资料原件退回建设单位，由项目建设单位按规定归档。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第十八条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审计实施过程中发现建设项目内部控制存在缺陷的，有关部门或人员应及时纠正；对于发现的违纪违法问题线索，及时提交纪检监察部门核实查处。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第十九条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禁止将应属于同一项目的工程分拆，或以其他方式规避审计监督。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第二十条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本办法由审计处负责解释。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>
        <w:rPr>
          <w:rFonts w:ascii="仿宋" w:eastAsia="仿宋" w:hAnsi="仿宋" w:cs="FangSong" w:hint="eastAsia"/>
          <w:kern w:val="0"/>
          <w:sz w:val="30"/>
          <w:szCs w:val="30"/>
        </w:rPr>
        <w:lastRenderedPageBreak/>
        <w:t xml:space="preserve">   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第二十一条</w:t>
      </w:r>
      <w:r>
        <w:rPr>
          <w:rFonts w:ascii="仿宋" w:eastAsia="仿宋" w:hAnsi="仿宋" w:cs="FangSong" w:hint="eastAsia"/>
          <w:kern w:val="0"/>
          <w:sz w:val="30"/>
          <w:szCs w:val="30"/>
        </w:rPr>
        <w:t xml:space="preserve">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本办法自发布之日起施行，原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《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河海大学关于</w:t>
      </w:r>
    </w:p>
    <w:p w:rsidR="00462A0A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基建项目、零星基建及修缮工程项目竣工决（结）算审计的暂行</w:t>
      </w:r>
    </w:p>
    <w:p w:rsidR="00011E9D" w:rsidRPr="00462A0A" w:rsidRDefault="00462A0A" w:rsidP="00A649D6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30"/>
          <w:szCs w:val="30"/>
        </w:rPr>
      </w:pP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规定</w:t>
      </w:r>
      <w:proofErr w:type="gramStart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》</w:t>
      </w:r>
      <w:proofErr w:type="gramEnd"/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（河海校建〔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>2000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〕</w:t>
      </w:r>
      <w:r w:rsidRPr="00462A0A">
        <w:rPr>
          <w:rFonts w:ascii="仿宋" w:eastAsia="仿宋" w:hAnsi="仿宋" w:cs="FangSong"/>
          <w:kern w:val="0"/>
          <w:sz w:val="30"/>
          <w:szCs w:val="30"/>
        </w:rPr>
        <w:t xml:space="preserve">45 </w:t>
      </w:r>
      <w:r w:rsidRPr="00462A0A">
        <w:rPr>
          <w:rFonts w:ascii="仿宋" w:eastAsia="仿宋" w:hAnsi="仿宋" w:cs="FangSong" w:hint="eastAsia"/>
          <w:kern w:val="0"/>
          <w:sz w:val="30"/>
          <w:szCs w:val="30"/>
        </w:rPr>
        <w:t>号）同时废止。</w:t>
      </w:r>
    </w:p>
    <w:sectPr w:rsidR="00011E9D" w:rsidRPr="00462A0A" w:rsidSect="0001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1A98"/>
    <w:multiLevelType w:val="hybridMultilevel"/>
    <w:tmpl w:val="983223E2"/>
    <w:lvl w:ilvl="0" w:tplc="EAF8C1C0">
      <w:start w:val="1"/>
      <w:numFmt w:val="japaneseCounting"/>
      <w:lvlText w:val="第%1条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A0A"/>
    <w:rsid w:val="00011E9D"/>
    <w:rsid w:val="00462A0A"/>
    <w:rsid w:val="00A649D6"/>
    <w:rsid w:val="00F5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2019-09-04T00:51:00Z</dcterms:created>
  <dcterms:modified xsi:type="dcterms:W3CDTF">2019-09-04T01:07:00Z</dcterms:modified>
</cp:coreProperties>
</file>